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38E17" w14:textId="77777777" w:rsidR="003C6BD0" w:rsidRPr="00A27796" w:rsidRDefault="00A27796">
      <w:pPr>
        <w:jc w:val="center"/>
        <w:rPr>
          <w:b/>
          <w:sz w:val="32"/>
          <w:szCs w:val="32"/>
          <w:lang w:val="en-US"/>
        </w:rPr>
      </w:pPr>
      <w:r w:rsidRPr="00A27796">
        <w:rPr>
          <w:b/>
          <w:sz w:val="32"/>
          <w:szCs w:val="32"/>
          <w:lang w:val="en-US"/>
        </w:rPr>
        <w:t>Brief summary</w:t>
      </w:r>
    </w:p>
    <w:p w14:paraId="45FEEEEF" w14:textId="77777777" w:rsidR="003C6BD0" w:rsidRDefault="00A27796">
      <w:pPr>
        <w:jc w:val="center"/>
        <w:rPr>
          <w:sz w:val="28"/>
          <w:szCs w:val="28"/>
          <w:lang w:val="be-BY"/>
        </w:rPr>
      </w:pPr>
      <w:r>
        <w:rPr>
          <w:sz w:val="28"/>
          <w:szCs w:val="28"/>
          <w:lang w:val="be-BY"/>
        </w:rPr>
        <w:t>Organization and activities of pre-trial investigation bodies</w:t>
      </w:r>
    </w:p>
    <w:p w14:paraId="602113D9" w14:textId="77777777" w:rsidR="003C6BD0" w:rsidRDefault="003C6BD0">
      <w:pPr>
        <w:jc w:val="center"/>
        <w:rPr>
          <w:b/>
          <w:sz w:val="28"/>
          <w:szCs w:val="28"/>
          <w:lang w:val="be-BY"/>
        </w:rPr>
      </w:pPr>
    </w:p>
    <w:tbl>
      <w:tblPr>
        <w:tblW w:w="9616" w:type="dxa"/>
        <w:tblInd w:w="-5" w:type="dxa"/>
        <w:tblLook w:val="04A0" w:firstRow="1" w:lastRow="0" w:firstColumn="1" w:lastColumn="0" w:noHBand="0" w:noVBand="1"/>
      </w:tblPr>
      <w:tblGrid>
        <w:gridCol w:w="895"/>
        <w:gridCol w:w="2384"/>
        <w:gridCol w:w="6337"/>
      </w:tblGrid>
      <w:tr w:rsidR="003C6BD0" w:rsidRPr="00A27796" w14:paraId="5C5A4321" w14:textId="77777777">
        <w:tc>
          <w:tcPr>
            <w:tcW w:w="496" w:type="dxa"/>
            <w:tcBorders>
              <w:top w:val="single" w:sz="4" w:space="0" w:color="000000"/>
              <w:left w:val="single" w:sz="4" w:space="0" w:color="000000"/>
              <w:bottom w:val="single" w:sz="4" w:space="0" w:color="000000"/>
            </w:tcBorders>
          </w:tcPr>
          <w:p w14:paraId="7003618B" w14:textId="77777777" w:rsidR="003C6BD0" w:rsidRDefault="00A27796">
            <w:pPr>
              <w:jc w:val="center"/>
              <w:rPr>
                <w:sz w:val="26"/>
                <w:szCs w:val="26"/>
              </w:rPr>
            </w:pPr>
            <w:r>
              <w:rPr>
                <w:sz w:val="26"/>
                <w:szCs w:val="26"/>
              </w:rPr>
              <w:t>1</w:t>
            </w:r>
          </w:p>
        </w:tc>
        <w:tc>
          <w:tcPr>
            <w:tcW w:w="2448" w:type="dxa"/>
            <w:tcBorders>
              <w:top w:val="single" w:sz="4" w:space="0" w:color="000000"/>
              <w:left w:val="single" w:sz="4" w:space="0" w:color="000000"/>
              <w:bottom w:val="single" w:sz="4" w:space="0" w:color="000000"/>
            </w:tcBorders>
          </w:tcPr>
          <w:p w14:paraId="4CC1F90C" w14:textId="77777777" w:rsidR="003C6BD0" w:rsidRPr="00A27796" w:rsidRDefault="00A27796">
            <w:pPr>
              <w:jc w:val="center"/>
              <w:rPr>
                <w:sz w:val="26"/>
                <w:szCs w:val="26"/>
                <w:lang w:val="en-US"/>
              </w:rPr>
            </w:pPr>
            <w:r w:rsidRPr="00A27796">
              <w:rPr>
                <w:sz w:val="26"/>
                <w:szCs w:val="26"/>
                <w:lang w:val="en-US"/>
              </w:rPr>
              <w:t>Name of the academic discipline</w:t>
            </w:r>
          </w:p>
        </w:tc>
        <w:tc>
          <w:tcPr>
            <w:tcW w:w="6672" w:type="dxa"/>
            <w:tcBorders>
              <w:top w:val="single" w:sz="4" w:space="0" w:color="000000"/>
              <w:left w:val="single" w:sz="4" w:space="0" w:color="000000"/>
              <w:bottom w:val="single" w:sz="4" w:space="0" w:color="000000"/>
              <w:right w:val="single" w:sz="4" w:space="0" w:color="000000"/>
            </w:tcBorders>
          </w:tcPr>
          <w:p w14:paraId="487C1C66" w14:textId="77777777" w:rsidR="003C6BD0" w:rsidRDefault="00A27796">
            <w:pPr>
              <w:jc w:val="center"/>
              <w:rPr>
                <w:sz w:val="26"/>
                <w:szCs w:val="26"/>
                <w:lang w:val="be-BY"/>
              </w:rPr>
            </w:pPr>
            <w:r>
              <w:rPr>
                <w:sz w:val="26"/>
                <w:szCs w:val="26"/>
                <w:lang w:val="be-BY"/>
              </w:rPr>
              <w:t>Organization and activity of pre-trial investigation</w:t>
            </w:r>
          </w:p>
        </w:tc>
      </w:tr>
      <w:tr w:rsidR="003C6BD0" w14:paraId="1248C5BA" w14:textId="77777777">
        <w:tc>
          <w:tcPr>
            <w:tcW w:w="496" w:type="dxa"/>
            <w:tcBorders>
              <w:top w:val="single" w:sz="4" w:space="0" w:color="000000"/>
              <w:left w:val="single" w:sz="4" w:space="0" w:color="000000"/>
              <w:bottom w:val="single" w:sz="4" w:space="0" w:color="000000"/>
            </w:tcBorders>
          </w:tcPr>
          <w:p w14:paraId="0DCE2D2C" w14:textId="77777777" w:rsidR="003C6BD0" w:rsidRDefault="00A27796">
            <w:pPr>
              <w:jc w:val="center"/>
              <w:rPr>
                <w:sz w:val="26"/>
                <w:szCs w:val="26"/>
              </w:rPr>
            </w:pPr>
            <w:r>
              <w:rPr>
                <w:sz w:val="26"/>
                <w:szCs w:val="26"/>
              </w:rPr>
              <w:t>bodies 2</w:t>
            </w:r>
          </w:p>
        </w:tc>
        <w:tc>
          <w:tcPr>
            <w:tcW w:w="2448" w:type="dxa"/>
            <w:tcBorders>
              <w:top w:val="single" w:sz="4" w:space="0" w:color="000000"/>
              <w:left w:val="single" w:sz="4" w:space="0" w:color="000000"/>
              <w:bottom w:val="single" w:sz="4" w:space="0" w:color="000000"/>
            </w:tcBorders>
          </w:tcPr>
          <w:p w14:paraId="39A79ED7" w14:textId="77777777" w:rsidR="003C6BD0" w:rsidRDefault="00A27796">
            <w:pPr>
              <w:jc w:val="center"/>
              <w:rPr>
                <w:sz w:val="26"/>
                <w:szCs w:val="26"/>
              </w:rPr>
            </w:pPr>
            <w:r>
              <w:rPr>
                <w:sz w:val="26"/>
                <w:szCs w:val="26"/>
              </w:rPr>
              <w:t>Specialty</w:t>
            </w:r>
          </w:p>
        </w:tc>
        <w:tc>
          <w:tcPr>
            <w:tcW w:w="6672" w:type="dxa"/>
            <w:tcBorders>
              <w:top w:val="single" w:sz="4" w:space="0" w:color="000000"/>
              <w:left w:val="single" w:sz="4" w:space="0" w:color="000000"/>
              <w:bottom w:val="single" w:sz="4" w:space="0" w:color="000000"/>
              <w:right w:val="single" w:sz="4" w:space="0" w:color="000000"/>
            </w:tcBorders>
          </w:tcPr>
          <w:p w14:paraId="6E857E3C" w14:textId="77777777" w:rsidR="003C6BD0" w:rsidRDefault="00A27796">
            <w:pPr>
              <w:jc w:val="both"/>
              <w:rPr>
                <w:i/>
                <w:sz w:val="26"/>
                <w:szCs w:val="26"/>
              </w:rPr>
            </w:pPr>
            <w:r>
              <w:rPr>
                <w:sz w:val="26"/>
                <w:szCs w:val="26"/>
              </w:rPr>
              <w:t xml:space="preserve">1-24 01 02 Law </w:t>
            </w:r>
          </w:p>
        </w:tc>
      </w:tr>
      <w:tr w:rsidR="003C6BD0" w14:paraId="73A44C96" w14:textId="77777777">
        <w:tc>
          <w:tcPr>
            <w:tcW w:w="496" w:type="dxa"/>
            <w:tcBorders>
              <w:top w:val="single" w:sz="4" w:space="0" w:color="000000"/>
              <w:left w:val="single" w:sz="4" w:space="0" w:color="000000"/>
              <w:bottom w:val="single" w:sz="4" w:space="0" w:color="000000"/>
            </w:tcBorders>
          </w:tcPr>
          <w:p w14:paraId="0CD622DA" w14:textId="77777777" w:rsidR="003C6BD0" w:rsidRDefault="00A27796">
            <w:pPr>
              <w:jc w:val="center"/>
              <w:rPr>
                <w:sz w:val="26"/>
                <w:szCs w:val="26"/>
              </w:rPr>
            </w:pPr>
            <w:r>
              <w:rPr>
                <w:sz w:val="26"/>
                <w:szCs w:val="26"/>
              </w:rPr>
              <w:t>3</w:t>
            </w:r>
          </w:p>
        </w:tc>
        <w:tc>
          <w:tcPr>
            <w:tcW w:w="2448" w:type="dxa"/>
            <w:tcBorders>
              <w:top w:val="single" w:sz="4" w:space="0" w:color="000000"/>
              <w:left w:val="single" w:sz="4" w:space="0" w:color="000000"/>
              <w:bottom w:val="single" w:sz="4" w:space="0" w:color="000000"/>
            </w:tcBorders>
          </w:tcPr>
          <w:p w14:paraId="0E03B41B" w14:textId="77777777" w:rsidR="003C6BD0" w:rsidRDefault="00A27796">
            <w:pPr>
              <w:jc w:val="center"/>
              <w:rPr>
                <w:sz w:val="26"/>
                <w:szCs w:val="26"/>
              </w:rPr>
            </w:pPr>
            <w:r>
              <w:rPr>
                <w:sz w:val="26"/>
                <w:szCs w:val="26"/>
              </w:rPr>
              <w:t>Course of study</w:t>
            </w:r>
          </w:p>
        </w:tc>
        <w:tc>
          <w:tcPr>
            <w:tcW w:w="6672" w:type="dxa"/>
            <w:tcBorders>
              <w:top w:val="single" w:sz="4" w:space="0" w:color="000000"/>
              <w:left w:val="single" w:sz="4" w:space="0" w:color="000000"/>
              <w:bottom w:val="single" w:sz="4" w:space="0" w:color="000000"/>
              <w:right w:val="single" w:sz="4" w:space="0" w:color="000000"/>
            </w:tcBorders>
          </w:tcPr>
          <w:p w14:paraId="3F21180C" w14:textId="77777777" w:rsidR="003C6BD0" w:rsidRDefault="00A27796">
            <w:pPr>
              <w:jc w:val="both"/>
              <w:rPr>
                <w:sz w:val="26"/>
                <w:szCs w:val="26"/>
              </w:rPr>
            </w:pPr>
            <w:r>
              <w:rPr>
                <w:sz w:val="26"/>
                <w:szCs w:val="26"/>
              </w:rPr>
              <w:t>3</w:t>
            </w:r>
          </w:p>
        </w:tc>
      </w:tr>
      <w:tr w:rsidR="003C6BD0" w14:paraId="2A84BF90" w14:textId="77777777">
        <w:trPr>
          <w:trHeight w:val="315"/>
        </w:trPr>
        <w:tc>
          <w:tcPr>
            <w:tcW w:w="496" w:type="dxa"/>
            <w:tcBorders>
              <w:top w:val="single" w:sz="4" w:space="0" w:color="000000"/>
              <w:left w:val="single" w:sz="4" w:space="0" w:color="000000"/>
              <w:bottom w:val="single" w:sz="4" w:space="0" w:color="000000"/>
            </w:tcBorders>
          </w:tcPr>
          <w:p w14:paraId="011B1A98" w14:textId="77777777" w:rsidR="003C6BD0" w:rsidRDefault="00A27796">
            <w:pPr>
              <w:jc w:val="center"/>
              <w:rPr>
                <w:sz w:val="26"/>
                <w:szCs w:val="26"/>
              </w:rPr>
            </w:pPr>
            <w:r>
              <w:rPr>
                <w:sz w:val="26"/>
                <w:szCs w:val="26"/>
              </w:rPr>
              <w:t>4</w:t>
            </w:r>
          </w:p>
        </w:tc>
        <w:tc>
          <w:tcPr>
            <w:tcW w:w="2448" w:type="dxa"/>
            <w:tcBorders>
              <w:top w:val="single" w:sz="4" w:space="0" w:color="000000"/>
              <w:left w:val="single" w:sz="4" w:space="0" w:color="000000"/>
              <w:bottom w:val="single" w:sz="4" w:space="0" w:color="000000"/>
            </w:tcBorders>
          </w:tcPr>
          <w:p w14:paraId="07D7F5B1" w14:textId="77777777" w:rsidR="003C6BD0" w:rsidRDefault="00A27796">
            <w:pPr>
              <w:jc w:val="center"/>
              <w:rPr>
                <w:sz w:val="26"/>
                <w:szCs w:val="26"/>
              </w:rPr>
            </w:pPr>
            <w:r>
              <w:rPr>
                <w:sz w:val="26"/>
                <w:szCs w:val="26"/>
              </w:rPr>
              <w:t>Semester of study</w:t>
            </w:r>
          </w:p>
        </w:tc>
        <w:tc>
          <w:tcPr>
            <w:tcW w:w="6672" w:type="dxa"/>
            <w:tcBorders>
              <w:top w:val="single" w:sz="4" w:space="0" w:color="000000"/>
              <w:left w:val="single" w:sz="4" w:space="0" w:color="000000"/>
              <w:bottom w:val="single" w:sz="4" w:space="0" w:color="000000"/>
              <w:right w:val="single" w:sz="4" w:space="0" w:color="000000"/>
            </w:tcBorders>
          </w:tcPr>
          <w:p w14:paraId="02F92AD2" w14:textId="77777777" w:rsidR="003C6BD0" w:rsidRDefault="00A27796">
            <w:pPr>
              <w:jc w:val="both"/>
              <w:rPr>
                <w:sz w:val="26"/>
                <w:szCs w:val="26"/>
              </w:rPr>
            </w:pPr>
            <w:r>
              <w:rPr>
                <w:sz w:val="26"/>
                <w:szCs w:val="26"/>
              </w:rPr>
              <w:t xml:space="preserve">6 </w:t>
            </w:r>
            <w:r>
              <w:rPr>
                <w:sz w:val="26"/>
                <w:szCs w:val="26"/>
              </w:rPr>
              <w:t>semester</w:t>
            </w:r>
          </w:p>
          <w:p w14:paraId="2BEC7D04" w14:textId="77777777" w:rsidR="003C6BD0" w:rsidRDefault="003C6BD0">
            <w:pPr>
              <w:jc w:val="both"/>
              <w:rPr>
                <w:sz w:val="26"/>
                <w:szCs w:val="26"/>
              </w:rPr>
            </w:pPr>
          </w:p>
        </w:tc>
      </w:tr>
      <w:tr w:rsidR="003C6BD0" w14:paraId="46F6FAC9" w14:textId="77777777">
        <w:tc>
          <w:tcPr>
            <w:tcW w:w="496" w:type="dxa"/>
            <w:tcBorders>
              <w:top w:val="single" w:sz="4" w:space="0" w:color="000000"/>
              <w:left w:val="single" w:sz="4" w:space="0" w:color="000000"/>
              <w:bottom w:val="single" w:sz="4" w:space="0" w:color="000000"/>
            </w:tcBorders>
          </w:tcPr>
          <w:p w14:paraId="41B5B385" w14:textId="77777777" w:rsidR="003C6BD0" w:rsidRDefault="00A27796">
            <w:pPr>
              <w:jc w:val="center"/>
              <w:rPr>
                <w:sz w:val="26"/>
                <w:szCs w:val="26"/>
              </w:rPr>
            </w:pPr>
            <w:r>
              <w:rPr>
                <w:sz w:val="26"/>
                <w:szCs w:val="26"/>
              </w:rPr>
              <w:t>5</w:t>
            </w:r>
          </w:p>
        </w:tc>
        <w:tc>
          <w:tcPr>
            <w:tcW w:w="2448" w:type="dxa"/>
            <w:tcBorders>
              <w:top w:val="single" w:sz="4" w:space="0" w:color="000000"/>
              <w:left w:val="single" w:sz="4" w:space="0" w:color="000000"/>
              <w:bottom w:val="single" w:sz="4" w:space="0" w:color="000000"/>
            </w:tcBorders>
          </w:tcPr>
          <w:p w14:paraId="72B4B9FC" w14:textId="77777777" w:rsidR="003C6BD0" w:rsidRPr="00A27796" w:rsidRDefault="00A27796">
            <w:pPr>
              <w:jc w:val="center"/>
              <w:rPr>
                <w:sz w:val="26"/>
                <w:szCs w:val="26"/>
                <w:lang w:val="en-US"/>
              </w:rPr>
            </w:pPr>
            <w:r w:rsidRPr="00A27796">
              <w:rPr>
                <w:sz w:val="26"/>
                <w:szCs w:val="26"/>
                <w:lang w:val="en-US"/>
              </w:rPr>
              <w:t>Labor intensity in credit units</w:t>
            </w:r>
          </w:p>
        </w:tc>
        <w:tc>
          <w:tcPr>
            <w:tcW w:w="6672" w:type="dxa"/>
            <w:tcBorders>
              <w:top w:val="single" w:sz="4" w:space="0" w:color="000000"/>
              <w:left w:val="single" w:sz="4" w:space="0" w:color="000000"/>
              <w:bottom w:val="single" w:sz="4" w:space="0" w:color="000000"/>
              <w:right w:val="single" w:sz="4" w:space="0" w:color="000000"/>
            </w:tcBorders>
          </w:tcPr>
          <w:p w14:paraId="1A4FF7C7" w14:textId="77777777" w:rsidR="003C6BD0" w:rsidRDefault="00A27796">
            <w:pPr>
              <w:jc w:val="both"/>
              <w:rPr>
                <w:sz w:val="26"/>
                <w:szCs w:val="26"/>
              </w:rPr>
            </w:pPr>
            <w:r>
              <w:rPr>
                <w:sz w:val="26"/>
                <w:szCs w:val="26"/>
              </w:rPr>
              <w:t>3 z. e.</w:t>
            </w:r>
          </w:p>
          <w:p w14:paraId="08E15142" w14:textId="77777777" w:rsidR="003C6BD0" w:rsidRDefault="003C6BD0">
            <w:pPr>
              <w:jc w:val="both"/>
              <w:rPr>
                <w:sz w:val="26"/>
                <w:szCs w:val="26"/>
              </w:rPr>
            </w:pPr>
          </w:p>
        </w:tc>
      </w:tr>
      <w:tr w:rsidR="003C6BD0" w:rsidRPr="00A27796" w14:paraId="76A36D55" w14:textId="77777777">
        <w:tc>
          <w:tcPr>
            <w:tcW w:w="496" w:type="dxa"/>
            <w:tcBorders>
              <w:top w:val="single" w:sz="4" w:space="0" w:color="000000"/>
              <w:left w:val="single" w:sz="4" w:space="0" w:color="000000"/>
              <w:bottom w:val="single" w:sz="4" w:space="0" w:color="000000"/>
            </w:tcBorders>
          </w:tcPr>
          <w:p w14:paraId="0BFFD880" w14:textId="77777777" w:rsidR="003C6BD0" w:rsidRDefault="00A27796">
            <w:pPr>
              <w:jc w:val="center"/>
              <w:rPr>
                <w:sz w:val="26"/>
                <w:szCs w:val="26"/>
              </w:rPr>
            </w:pPr>
            <w:r>
              <w:rPr>
                <w:sz w:val="26"/>
                <w:szCs w:val="26"/>
              </w:rPr>
              <w:t>6</w:t>
            </w:r>
          </w:p>
        </w:tc>
        <w:tc>
          <w:tcPr>
            <w:tcW w:w="2448" w:type="dxa"/>
            <w:tcBorders>
              <w:top w:val="single" w:sz="4" w:space="0" w:color="000000"/>
              <w:left w:val="single" w:sz="4" w:space="0" w:color="000000"/>
              <w:bottom w:val="single" w:sz="4" w:space="0" w:color="000000"/>
            </w:tcBorders>
          </w:tcPr>
          <w:p w14:paraId="7121540E" w14:textId="77777777" w:rsidR="003C6BD0" w:rsidRPr="00A27796" w:rsidRDefault="00A27796">
            <w:pPr>
              <w:jc w:val="center"/>
              <w:rPr>
                <w:sz w:val="26"/>
                <w:szCs w:val="26"/>
                <w:lang w:val="en-US"/>
              </w:rPr>
            </w:pPr>
            <w:r w:rsidRPr="00A27796">
              <w:rPr>
                <w:sz w:val="26"/>
                <w:szCs w:val="26"/>
                <w:lang w:val="en-US"/>
              </w:rPr>
              <w:t>Degree, title, full name of the teacher</w:t>
            </w:r>
          </w:p>
        </w:tc>
        <w:tc>
          <w:tcPr>
            <w:tcW w:w="6672" w:type="dxa"/>
            <w:tcBorders>
              <w:top w:val="single" w:sz="4" w:space="0" w:color="000000"/>
              <w:left w:val="single" w:sz="4" w:space="0" w:color="000000"/>
              <w:bottom w:val="single" w:sz="4" w:space="0" w:color="000000"/>
              <w:right w:val="single" w:sz="4" w:space="0" w:color="000000"/>
            </w:tcBorders>
          </w:tcPr>
          <w:p w14:paraId="26A287B6" w14:textId="77777777" w:rsidR="003C6BD0" w:rsidRPr="00A27796" w:rsidRDefault="00A27796">
            <w:pPr>
              <w:jc w:val="both"/>
              <w:rPr>
                <w:sz w:val="26"/>
                <w:szCs w:val="26"/>
                <w:lang w:val="en-US"/>
              </w:rPr>
            </w:pPr>
            <w:proofErr w:type="spellStart"/>
            <w:r w:rsidRPr="00A27796">
              <w:rPr>
                <w:sz w:val="26"/>
                <w:szCs w:val="26"/>
                <w:lang w:val="en-US"/>
              </w:rPr>
              <w:t>Efremenko</w:t>
            </w:r>
            <w:proofErr w:type="spellEnd"/>
            <w:r w:rsidRPr="00A27796">
              <w:rPr>
                <w:sz w:val="26"/>
                <w:szCs w:val="26"/>
                <w:lang w:val="en-US"/>
              </w:rPr>
              <w:t xml:space="preserve"> Nikolay Vasilyevich, Candidate of Law, Associate Professor</w:t>
            </w:r>
          </w:p>
          <w:p w14:paraId="443D16E0" w14:textId="77777777" w:rsidR="003C6BD0" w:rsidRPr="00A27796" w:rsidRDefault="003C6BD0">
            <w:pPr>
              <w:jc w:val="both"/>
              <w:rPr>
                <w:sz w:val="26"/>
                <w:szCs w:val="26"/>
                <w:lang w:val="en-US"/>
              </w:rPr>
            </w:pPr>
          </w:p>
        </w:tc>
      </w:tr>
      <w:tr w:rsidR="003C6BD0" w:rsidRPr="00A27796" w14:paraId="0049E4A9" w14:textId="77777777">
        <w:tc>
          <w:tcPr>
            <w:tcW w:w="496" w:type="dxa"/>
            <w:tcBorders>
              <w:top w:val="single" w:sz="4" w:space="0" w:color="000000"/>
              <w:left w:val="single" w:sz="4" w:space="0" w:color="000000"/>
              <w:bottom w:val="single" w:sz="4" w:space="0" w:color="000000"/>
            </w:tcBorders>
          </w:tcPr>
          <w:p w14:paraId="76A64D89" w14:textId="77777777" w:rsidR="003C6BD0" w:rsidRDefault="00A27796">
            <w:pPr>
              <w:jc w:val="center"/>
              <w:rPr>
                <w:sz w:val="26"/>
                <w:szCs w:val="26"/>
              </w:rPr>
            </w:pPr>
            <w:r>
              <w:rPr>
                <w:sz w:val="26"/>
                <w:szCs w:val="26"/>
              </w:rPr>
              <w:t>7</w:t>
            </w:r>
          </w:p>
        </w:tc>
        <w:tc>
          <w:tcPr>
            <w:tcW w:w="2448" w:type="dxa"/>
            <w:tcBorders>
              <w:top w:val="single" w:sz="4" w:space="0" w:color="000000"/>
              <w:left w:val="single" w:sz="4" w:space="0" w:color="000000"/>
              <w:bottom w:val="single" w:sz="4" w:space="0" w:color="000000"/>
            </w:tcBorders>
          </w:tcPr>
          <w:p w14:paraId="64F9841E" w14:textId="77777777" w:rsidR="003C6BD0" w:rsidRPr="00A27796" w:rsidRDefault="00A27796">
            <w:pPr>
              <w:jc w:val="center"/>
              <w:rPr>
                <w:sz w:val="26"/>
                <w:szCs w:val="26"/>
                <w:lang w:val="en-US"/>
              </w:rPr>
            </w:pPr>
            <w:r w:rsidRPr="00A27796">
              <w:rPr>
                <w:sz w:val="26"/>
                <w:szCs w:val="26"/>
                <w:lang w:val="en-US"/>
              </w:rPr>
              <w:t>The purpose of the discipline</w:t>
            </w:r>
          </w:p>
        </w:tc>
        <w:tc>
          <w:tcPr>
            <w:tcW w:w="6672" w:type="dxa"/>
            <w:tcBorders>
              <w:top w:val="single" w:sz="4" w:space="0" w:color="000000"/>
              <w:left w:val="single" w:sz="4" w:space="0" w:color="000000"/>
              <w:bottom w:val="single" w:sz="4" w:space="0" w:color="000000"/>
              <w:right w:val="single" w:sz="4" w:space="0" w:color="000000"/>
            </w:tcBorders>
          </w:tcPr>
          <w:p w14:paraId="534E5CC5" w14:textId="77777777" w:rsidR="003C6BD0" w:rsidRPr="00A27796" w:rsidRDefault="00A27796">
            <w:pPr>
              <w:widowControl w:val="0"/>
              <w:tabs>
                <w:tab w:val="left" w:pos="1134"/>
              </w:tabs>
              <w:autoSpaceDE w:val="0"/>
              <w:jc w:val="both"/>
              <w:rPr>
                <w:sz w:val="26"/>
                <w:szCs w:val="26"/>
                <w:lang w:val="en-US" w:eastAsia="en-US"/>
              </w:rPr>
            </w:pPr>
            <w:r w:rsidRPr="00A27796">
              <w:rPr>
                <w:sz w:val="26"/>
                <w:szCs w:val="26"/>
                <w:lang w:val="en-US"/>
              </w:rPr>
              <w:t xml:space="preserve">is to introduce students to theoretical the main </w:t>
            </w:r>
            <w:r w:rsidRPr="00A27796">
              <w:rPr>
                <w:sz w:val="26"/>
                <w:szCs w:val="26"/>
                <w:lang w:val="en-US"/>
              </w:rPr>
              <w:t>principles of understanding evidentiary activity in criminal proceedings, its importance for making legal and justified decisions at various stages of criminal proceedings. Formation of students ' ideas about the legal essence of: - criminal procedure deci</w:t>
            </w:r>
            <w:r w:rsidRPr="00A27796">
              <w:rPr>
                <w:sz w:val="26"/>
                <w:szCs w:val="26"/>
                <w:lang w:val="en-US"/>
              </w:rPr>
              <w:t>sions as law enforcement acts, types and methods of their adoption, as well as requirements for the content and form of law enforcement decisions taken at various stages of criminal proceedings; - evidence, its types and properties, as well as the rules fo</w:t>
            </w:r>
            <w:r w:rsidRPr="00A27796">
              <w:rPr>
                <w:sz w:val="26"/>
                <w:szCs w:val="26"/>
                <w:lang w:val="en-US"/>
              </w:rPr>
              <w:t>r its collection, verification and evaluation at various stages of criminal proceedings. Develop skills in analyzing errors and violations committed in the process of proving and making decisions in criminal proceedings, as well as determining ways to elim</w:t>
            </w:r>
            <w:r w:rsidRPr="00A27796">
              <w:rPr>
                <w:sz w:val="26"/>
                <w:szCs w:val="26"/>
                <w:lang w:val="en-US"/>
              </w:rPr>
              <w:t>inate them. Acquisition of students ' knowledge about the form of making decisions in pre-trial and court proceedings.</w:t>
            </w:r>
          </w:p>
        </w:tc>
      </w:tr>
      <w:tr w:rsidR="003C6BD0" w:rsidRPr="00A27796" w14:paraId="7F2B3125" w14:textId="77777777">
        <w:tc>
          <w:tcPr>
            <w:tcW w:w="496" w:type="dxa"/>
            <w:tcBorders>
              <w:top w:val="single" w:sz="4" w:space="0" w:color="000000"/>
              <w:left w:val="single" w:sz="4" w:space="0" w:color="000000"/>
              <w:bottom w:val="single" w:sz="4" w:space="0" w:color="000000"/>
            </w:tcBorders>
          </w:tcPr>
          <w:p w14:paraId="2DD5DADF" w14:textId="77777777" w:rsidR="003C6BD0" w:rsidRDefault="00A27796">
            <w:pPr>
              <w:jc w:val="center"/>
              <w:rPr>
                <w:sz w:val="26"/>
                <w:szCs w:val="26"/>
              </w:rPr>
            </w:pPr>
            <w:r>
              <w:rPr>
                <w:sz w:val="26"/>
                <w:szCs w:val="26"/>
              </w:rPr>
              <w:t>8</w:t>
            </w:r>
          </w:p>
        </w:tc>
        <w:tc>
          <w:tcPr>
            <w:tcW w:w="2448" w:type="dxa"/>
            <w:tcBorders>
              <w:top w:val="single" w:sz="4" w:space="0" w:color="000000"/>
              <w:left w:val="single" w:sz="4" w:space="0" w:color="000000"/>
              <w:bottom w:val="single" w:sz="4" w:space="0" w:color="000000"/>
            </w:tcBorders>
          </w:tcPr>
          <w:p w14:paraId="003A6EB0" w14:textId="77777777" w:rsidR="003C6BD0" w:rsidRDefault="00A27796">
            <w:pPr>
              <w:jc w:val="center"/>
              <w:rPr>
                <w:sz w:val="26"/>
                <w:szCs w:val="26"/>
              </w:rPr>
            </w:pPr>
            <w:r>
              <w:rPr>
                <w:sz w:val="26"/>
                <w:szCs w:val="26"/>
              </w:rPr>
              <w:t>Prerequisites</w:t>
            </w:r>
          </w:p>
          <w:p w14:paraId="5CB51759" w14:textId="77777777" w:rsidR="003C6BD0" w:rsidRDefault="003C6BD0">
            <w:pPr>
              <w:jc w:val="center"/>
              <w:rPr>
                <w:sz w:val="26"/>
                <w:szCs w:val="26"/>
              </w:rPr>
            </w:pPr>
          </w:p>
        </w:tc>
        <w:tc>
          <w:tcPr>
            <w:tcW w:w="6672" w:type="dxa"/>
            <w:tcBorders>
              <w:top w:val="single" w:sz="4" w:space="0" w:color="000000"/>
              <w:left w:val="single" w:sz="4" w:space="0" w:color="000000"/>
              <w:bottom w:val="single" w:sz="4" w:space="0" w:color="000000"/>
              <w:right w:val="single" w:sz="4" w:space="0" w:color="000000"/>
            </w:tcBorders>
          </w:tcPr>
          <w:p w14:paraId="2A4DA121" w14:textId="77777777" w:rsidR="003C6BD0" w:rsidRPr="00A27796" w:rsidRDefault="00A27796">
            <w:pPr>
              <w:autoSpaceDE w:val="0"/>
              <w:jc w:val="both"/>
              <w:rPr>
                <w:lang w:val="en-US"/>
              </w:rPr>
            </w:pPr>
            <w:r w:rsidRPr="00A27796">
              <w:rPr>
                <w:sz w:val="26"/>
                <w:szCs w:val="26"/>
                <w:lang w:val="en-US"/>
              </w:rPr>
              <w:t xml:space="preserve">For the successful development of the academic discipline, it is necessary to have theoretical knowledge obtained during the study of such disciplines and branches of law as:" Criminal Law"," Criminal </w:t>
            </w:r>
            <w:proofErr w:type="spellStart"/>
            <w:r w:rsidRPr="00A27796">
              <w:rPr>
                <w:sz w:val="26"/>
                <w:szCs w:val="26"/>
                <w:lang w:val="en-US"/>
              </w:rPr>
              <w:t>Procedure","Criminalistics</w:t>
            </w:r>
            <w:proofErr w:type="spellEnd"/>
            <w:r w:rsidRPr="00A27796">
              <w:rPr>
                <w:sz w:val="26"/>
                <w:szCs w:val="26"/>
                <w:lang w:val="en-US"/>
              </w:rPr>
              <w:t xml:space="preserve">". </w:t>
            </w:r>
          </w:p>
        </w:tc>
      </w:tr>
      <w:tr w:rsidR="003C6BD0" w:rsidRPr="00A27796" w14:paraId="5E65DAFB" w14:textId="77777777">
        <w:tc>
          <w:tcPr>
            <w:tcW w:w="496" w:type="dxa"/>
            <w:tcBorders>
              <w:top w:val="single" w:sz="4" w:space="0" w:color="000000"/>
              <w:left w:val="single" w:sz="4" w:space="0" w:color="000000"/>
              <w:bottom w:val="single" w:sz="4" w:space="0" w:color="000000"/>
            </w:tcBorders>
          </w:tcPr>
          <w:p w14:paraId="3709678E" w14:textId="77777777" w:rsidR="003C6BD0" w:rsidRDefault="00A27796">
            <w:pPr>
              <w:jc w:val="center"/>
              <w:rPr>
                <w:sz w:val="26"/>
                <w:szCs w:val="26"/>
              </w:rPr>
            </w:pPr>
            <w:r>
              <w:rPr>
                <w:sz w:val="26"/>
                <w:szCs w:val="26"/>
              </w:rPr>
              <w:t>9</w:t>
            </w:r>
          </w:p>
        </w:tc>
        <w:tc>
          <w:tcPr>
            <w:tcW w:w="2448" w:type="dxa"/>
            <w:tcBorders>
              <w:top w:val="single" w:sz="4" w:space="0" w:color="000000"/>
              <w:left w:val="single" w:sz="4" w:space="0" w:color="000000"/>
              <w:bottom w:val="single" w:sz="4" w:space="0" w:color="000000"/>
            </w:tcBorders>
          </w:tcPr>
          <w:p w14:paraId="7ED68A06" w14:textId="77777777" w:rsidR="003C6BD0" w:rsidRDefault="00A27796">
            <w:pPr>
              <w:jc w:val="center"/>
              <w:rPr>
                <w:sz w:val="26"/>
                <w:szCs w:val="26"/>
              </w:rPr>
            </w:pPr>
            <w:r>
              <w:rPr>
                <w:sz w:val="26"/>
                <w:szCs w:val="26"/>
              </w:rPr>
              <w:t>Content of the discipl</w:t>
            </w:r>
            <w:r>
              <w:rPr>
                <w:sz w:val="26"/>
                <w:szCs w:val="26"/>
              </w:rPr>
              <w:t>ine</w:t>
            </w:r>
          </w:p>
          <w:p w14:paraId="077A0769" w14:textId="77777777" w:rsidR="003C6BD0" w:rsidRDefault="003C6BD0">
            <w:pPr>
              <w:jc w:val="center"/>
              <w:rPr>
                <w:sz w:val="26"/>
                <w:szCs w:val="26"/>
              </w:rPr>
            </w:pPr>
          </w:p>
        </w:tc>
        <w:tc>
          <w:tcPr>
            <w:tcW w:w="6672" w:type="dxa"/>
            <w:tcBorders>
              <w:top w:val="single" w:sz="4" w:space="0" w:color="000000"/>
              <w:left w:val="single" w:sz="4" w:space="0" w:color="000000"/>
              <w:bottom w:val="single" w:sz="4" w:space="0" w:color="000000"/>
              <w:right w:val="single" w:sz="4" w:space="0" w:color="000000"/>
            </w:tcBorders>
          </w:tcPr>
          <w:p w14:paraId="6F7B0B1A" w14:textId="77777777" w:rsidR="003C6BD0" w:rsidRPr="00A27796" w:rsidRDefault="00A27796">
            <w:pPr>
              <w:ind w:firstLine="175"/>
              <w:jc w:val="both"/>
              <w:rPr>
                <w:sz w:val="26"/>
                <w:szCs w:val="26"/>
                <w:lang w:val="en-US"/>
              </w:rPr>
            </w:pPr>
            <w:r w:rsidRPr="00A27796">
              <w:rPr>
                <w:sz w:val="26"/>
                <w:szCs w:val="26"/>
                <w:lang w:val="en-US"/>
              </w:rPr>
              <w:t xml:space="preserve">General characteristics of procedural documents in criminal cases. </w:t>
            </w:r>
            <w:r w:rsidRPr="00A27796">
              <w:rPr>
                <w:sz w:val="26"/>
                <w:szCs w:val="26"/>
                <w:lang w:val="en-US" w:eastAsia="en-US"/>
              </w:rPr>
              <w:t xml:space="preserve">Procedural documents drawn up at the stage of initiation and investigation of a criminal case. </w:t>
            </w:r>
            <w:r w:rsidRPr="00A27796">
              <w:rPr>
                <w:sz w:val="26"/>
                <w:szCs w:val="26"/>
                <w:lang w:val="en-US"/>
              </w:rPr>
              <w:t xml:space="preserve"> General characteristics of investigative actions. Registration of procedural documents i</w:t>
            </w:r>
            <w:r w:rsidRPr="00A27796">
              <w:rPr>
                <w:sz w:val="26"/>
                <w:szCs w:val="26"/>
                <w:lang w:val="en-US"/>
              </w:rPr>
              <w:t>n the course of investigative actions. Bringing charges. Documents drawn up at the time of filing charges. Production of expertise. Procedural documents drawn up during the appointment and conduct of an expert examination. Measures of procedural compulsion</w:t>
            </w:r>
            <w:r w:rsidRPr="00A27796">
              <w:rPr>
                <w:sz w:val="26"/>
                <w:szCs w:val="26"/>
                <w:lang w:val="en-US"/>
              </w:rPr>
              <w:t xml:space="preserve">. Documents drawn up when applying measures of procedural compulsion. Procedural documents drawn up at the stages of termination of a </w:t>
            </w:r>
            <w:r w:rsidRPr="00A27796">
              <w:rPr>
                <w:sz w:val="26"/>
                <w:szCs w:val="26"/>
                <w:lang w:val="en-US"/>
              </w:rPr>
              <w:lastRenderedPageBreak/>
              <w:t>criminal case, suspension and resumption of a preliminary investigation. Completion of the preliminary investigation, proc</w:t>
            </w:r>
            <w:r w:rsidRPr="00A27796">
              <w:rPr>
                <w:sz w:val="26"/>
                <w:szCs w:val="26"/>
                <w:lang w:val="en-US"/>
              </w:rPr>
              <w:t>edural documents drawn up at the end of the investigation. Proceedings in the court of first instance. Drafting of procedural documents.</w:t>
            </w:r>
          </w:p>
        </w:tc>
      </w:tr>
      <w:tr w:rsidR="003C6BD0" w:rsidRPr="00A27796" w14:paraId="15E08B44" w14:textId="77777777">
        <w:tc>
          <w:tcPr>
            <w:tcW w:w="496" w:type="dxa"/>
            <w:tcBorders>
              <w:top w:val="single" w:sz="4" w:space="0" w:color="000000"/>
              <w:left w:val="single" w:sz="4" w:space="0" w:color="000000"/>
              <w:bottom w:val="single" w:sz="4" w:space="0" w:color="000000"/>
            </w:tcBorders>
          </w:tcPr>
          <w:p w14:paraId="048EB6D0" w14:textId="77777777" w:rsidR="003C6BD0" w:rsidRDefault="00A27796">
            <w:pPr>
              <w:jc w:val="center"/>
              <w:rPr>
                <w:sz w:val="26"/>
                <w:szCs w:val="26"/>
              </w:rPr>
            </w:pPr>
            <w:r>
              <w:rPr>
                <w:sz w:val="26"/>
                <w:szCs w:val="26"/>
              </w:rPr>
              <w:lastRenderedPageBreak/>
              <w:t>10</w:t>
            </w:r>
          </w:p>
        </w:tc>
        <w:tc>
          <w:tcPr>
            <w:tcW w:w="2448" w:type="dxa"/>
            <w:tcBorders>
              <w:top w:val="single" w:sz="4" w:space="0" w:color="000000"/>
              <w:left w:val="single" w:sz="4" w:space="0" w:color="000000"/>
              <w:bottom w:val="single" w:sz="4" w:space="0" w:color="000000"/>
            </w:tcBorders>
          </w:tcPr>
          <w:p w14:paraId="7208050E" w14:textId="77777777" w:rsidR="003C6BD0" w:rsidRDefault="00A27796">
            <w:pPr>
              <w:jc w:val="center"/>
              <w:rPr>
                <w:sz w:val="26"/>
                <w:szCs w:val="26"/>
              </w:rPr>
            </w:pPr>
            <w:r>
              <w:rPr>
                <w:sz w:val="26"/>
                <w:szCs w:val="26"/>
              </w:rPr>
              <w:t>Recommended literature</w:t>
            </w:r>
          </w:p>
          <w:p w14:paraId="38B6CC78" w14:textId="77777777" w:rsidR="003C6BD0" w:rsidRDefault="003C6BD0">
            <w:pPr>
              <w:jc w:val="center"/>
              <w:rPr>
                <w:sz w:val="26"/>
                <w:szCs w:val="26"/>
              </w:rPr>
            </w:pPr>
          </w:p>
        </w:tc>
        <w:tc>
          <w:tcPr>
            <w:tcW w:w="6672" w:type="dxa"/>
            <w:tcBorders>
              <w:top w:val="single" w:sz="4" w:space="0" w:color="000000"/>
              <w:left w:val="single" w:sz="4" w:space="0" w:color="000000"/>
              <w:bottom w:val="single" w:sz="4" w:space="0" w:color="000000"/>
              <w:right w:val="single" w:sz="4" w:space="0" w:color="000000"/>
            </w:tcBorders>
          </w:tcPr>
          <w:p w14:paraId="4B18427D"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1. Веташкова, Т.</w:t>
            </w:r>
            <w:r w:rsidRPr="00A27796">
              <w:rPr>
                <w:color w:val="000000"/>
                <w:sz w:val="26"/>
                <w:szCs w:val="26"/>
                <w:lang w:val="en-US"/>
              </w:rPr>
              <w:t> </w:t>
            </w:r>
            <w:r w:rsidRPr="00A27796">
              <w:rPr>
                <w:color w:val="000000"/>
                <w:sz w:val="26"/>
                <w:szCs w:val="26"/>
              </w:rPr>
              <w:t>В. Уголовный процесс: Учебно-</w:t>
            </w:r>
          </w:p>
          <w:p w14:paraId="7CBBA487"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методическое пособие / Т.</w:t>
            </w:r>
            <w:r w:rsidRPr="00A27796">
              <w:rPr>
                <w:color w:val="000000"/>
                <w:sz w:val="26"/>
                <w:szCs w:val="26"/>
                <w:lang w:val="en-US"/>
              </w:rPr>
              <w:t> </w:t>
            </w:r>
            <w:r w:rsidRPr="00A27796">
              <w:rPr>
                <w:color w:val="000000"/>
                <w:sz w:val="26"/>
                <w:szCs w:val="26"/>
              </w:rPr>
              <w:t>В. Веташкова. – Витебск: ВГУ</w:t>
            </w:r>
          </w:p>
          <w:p w14:paraId="45A3B731"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им. П.М. Машерова, 2019. – 94 с.</w:t>
            </w:r>
          </w:p>
          <w:p w14:paraId="34B7BF39"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2. Данилевич, А.</w:t>
            </w:r>
            <w:r w:rsidRPr="00A27796">
              <w:rPr>
                <w:color w:val="000000"/>
                <w:sz w:val="26"/>
                <w:szCs w:val="26"/>
                <w:lang w:val="en-US"/>
              </w:rPr>
              <w:t> </w:t>
            </w:r>
            <w:r w:rsidRPr="00A27796">
              <w:rPr>
                <w:color w:val="000000"/>
                <w:sz w:val="26"/>
                <w:szCs w:val="26"/>
              </w:rPr>
              <w:t>А.</w:t>
            </w:r>
            <w:r w:rsidRPr="00A27796">
              <w:rPr>
                <w:color w:val="000000"/>
                <w:sz w:val="26"/>
                <w:szCs w:val="26"/>
                <w:lang w:val="en-US"/>
              </w:rPr>
              <w:t> </w:t>
            </w:r>
            <w:r w:rsidRPr="00A27796">
              <w:rPr>
                <w:color w:val="000000"/>
                <w:sz w:val="26"/>
                <w:szCs w:val="26"/>
              </w:rPr>
              <w:t>Уголовный процесс: практикум:</w:t>
            </w:r>
          </w:p>
          <w:p w14:paraId="082FC12E"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учёба. пособие / А.</w:t>
            </w:r>
            <w:r w:rsidRPr="00A27796">
              <w:rPr>
                <w:color w:val="000000"/>
                <w:sz w:val="26"/>
                <w:szCs w:val="26"/>
                <w:lang w:val="en-US"/>
              </w:rPr>
              <w:t> </w:t>
            </w:r>
            <w:r w:rsidRPr="00A27796">
              <w:rPr>
                <w:color w:val="000000"/>
                <w:sz w:val="26"/>
                <w:szCs w:val="26"/>
              </w:rPr>
              <w:t>А.</w:t>
            </w:r>
            <w:r w:rsidRPr="00A27796">
              <w:rPr>
                <w:color w:val="000000"/>
                <w:sz w:val="26"/>
                <w:szCs w:val="26"/>
                <w:lang w:val="en-US"/>
              </w:rPr>
              <w:t> </w:t>
            </w:r>
            <w:r w:rsidRPr="00A27796">
              <w:rPr>
                <w:color w:val="000000"/>
                <w:sz w:val="26"/>
                <w:szCs w:val="26"/>
              </w:rPr>
              <w:t>Данилевич, В.</w:t>
            </w:r>
            <w:r w:rsidRPr="00A27796">
              <w:rPr>
                <w:color w:val="000000"/>
                <w:sz w:val="26"/>
                <w:szCs w:val="26"/>
                <w:lang w:val="en-US"/>
              </w:rPr>
              <w:t> </w:t>
            </w:r>
            <w:r w:rsidRPr="00A27796">
              <w:rPr>
                <w:color w:val="000000"/>
                <w:sz w:val="26"/>
                <w:szCs w:val="26"/>
              </w:rPr>
              <w:t>П.</w:t>
            </w:r>
            <w:r w:rsidRPr="00A27796">
              <w:rPr>
                <w:color w:val="000000"/>
                <w:sz w:val="26"/>
                <w:szCs w:val="26"/>
                <w:lang w:val="en-US"/>
              </w:rPr>
              <w:t> </w:t>
            </w:r>
            <w:r w:rsidRPr="00A27796">
              <w:rPr>
                <w:color w:val="000000"/>
                <w:sz w:val="26"/>
                <w:szCs w:val="26"/>
              </w:rPr>
              <w:t>Лагойский.</w:t>
            </w:r>
            <w:r w:rsidRPr="00A27796">
              <w:rPr>
                <w:color w:val="000000"/>
                <w:sz w:val="26"/>
                <w:szCs w:val="26"/>
                <w:lang w:val="en-US"/>
              </w:rPr>
              <w:t> </w:t>
            </w:r>
            <w:r w:rsidRPr="00A27796">
              <w:rPr>
                <w:color w:val="000000"/>
                <w:sz w:val="26"/>
                <w:szCs w:val="26"/>
              </w:rPr>
              <w:t>–</w:t>
            </w:r>
          </w:p>
          <w:p w14:paraId="2B12C287"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Минск: Амалфея, 2015.</w:t>
            </w:r>
            <w:r w:rsidRPr="00A27796">
              <w:rPr>
                <w:color w:val="000000"/>
                <w:sz w:val="26"/>
                <w:szCs w:val="26"/>
                <w:lang w:val="en-US"/>
              </w:rPr>
              <w:t> </w:t>
            </w:r>
            <w:r w:rsidRPr="00A27796">
              <w:rPr>
                <w:color w:val="000000"/>
                <w:sz w:val="26"/>
                <w:szCs w:val="26"/>
              </w:rPr>
              <w:t>– 372 с.</w:t>
            </w:r>
          </w:p>
          <w:p w14:paraId="09BD6D18"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3. Данилевич, А.</w:t>
            </w:r>
            <w:r w:rsidRPr="00A27796">
              <w:rPr>
                <w:color w:val="000000"/>
                <w:sz w:val="26"/>
                <w:szCs w:val="26"/>
                <w:lang w:val="en-US"/>
              </w:rPr>
              <w:t> </w:t>
            </w:r>
            <w:r w:rsidRPr="00A27796">
              <w:rPr>
                <w:color w:val="000000"/>
                <w:sz w:val="26"/>
                <w:szCs w:val="26"/>
              </w:rPr>
              <w:t>А.</w:t>
            </w:r>
            <w:r w:rsidRPr="00A27796">
              <w:rPr>
                <w:color w:val="000000"/>
                <w:sz w:val="26"/>
                <w:szCs w:val="26"/>
                <w:lang w:val="en-US"/>
              </w:rPr>
              <w:t> </w:t>
            </w:r>
            <w:r w:rsidRPr="00A27796">
              <w:rPr>
                <w:color w:val="000000"/>
                <w:sz w:val="26"/>
                <w:szCs w:val="26"/>
              </w:rPr>
              <w:t>Уголовный процесс: учеб.-метод.</w:t>
            </w:r>
          </w:p>
          <w:p w14:paraId="430EE019"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пособие / А.</w:t>
            </w:r>
            <w:r w:rsidRPr="00A27796">
              <w:rPr>
                <w:color w:val="000000"/>
                <w:sz w:val="26"/>
                <w:szCs w:val="26"/>
                <w:lang w:val="en-US"/>
              </w:rPr>
              <w:t> </w:t>
            </w:r>
            <w:r w:rsidRPr="00A27796">
              <w:rPr>
                <w:color w:val="000000"/>
                <w:sz w:val="26"/>
                <w:szCs w:val="26"/>
              </w:rPr>
              <w:t>А.</w:t>
            </w:r>
            <w:r w:rsidRPr="00A27796">
              <w:rPr>
                <w:color w:val="000000"/>
                <w:sz w:val="26"/>
                <w:szCs w:val="26"/>
                <w:lang w:val="en-US"/>
              </w:rPr>
              <w:t> </w:t>
            </w:r>
            <w:r w:rsidRPr="00A27796">
              <w:rPr>
                <w:color w:val="000000"/>
                <w:sz w:val="26"/>
                <w:szCs w:val="26"/>
              </w:rPr>
              <w:t>Данилевич, О.</w:t>
            </w:r>
            <w:r w:rsidRPr="00A27796">
              <w:rPr>
                <w:color w:val="000000"/>
                <w:sz w:val="26"/>
                <w:szCs w:val="26"/>
                <w:lang w:val="en-US"/>
              </w:rPr>
              <w:t> </w:t>
            </w:r>
            <w:r w:rsidRPr="00A27796">
              <w:rPr>
                <w:color w:val="000000"/>
                <w:sz w:val="26"/>
                <w:szCs w:val="26"/>
              </w:rPr>
              <w:t>В.</w:t>
            </w:r>
            <w:r w:rsidRPr="00A27796">
              <w:rPr>
                <w:color w:val="000000"/>
                <w:sz w:val="26"/>
                <w:szCs w:val="26"/>
                <w:lang w:val="en-US"/>
              </w:rPr>
              <w:t> </w:t>
            </w:r>
            <w:r w:rsidRPr="00A27796">
              <w:rPr>
                <w:color w:val="000000"/>
                <w:sz w:val="26"/>
                <w:szCs w:val="26"/>
              </w:rPr>
              <w:t>Петрова,</w:t>
            </w:r>
          </w:p>
          <w:p w14:paraId="2CB809A2"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В.</w:t>
            </w:r>
            <w:r w:rsidRPr="00A27796">
              <w:rPr>
                <w:color w:val="000000"/>
                <w:sz w:val="26"/>
                <w:szCs w:val="26"/>
                <w:lang w:val="en-US"/>
              </w:rPr>
              <w:t> </w:t>
            </w:r>
            <w:r w:rsidRPr="00A27796">
              <w:rPr>
                <w:color w:val="000000"/>
                <w:sz w:val="26"/>
                <w:szCs w:val="26"/>
              </w:rPr>
              <w:t>И.</w:t>
            </w:r>
            <w:r w:rsidRPr="00A27796">
              <w:rPr>
                <w:color w:val="000000"/>
                <w:sz w:val="26"/>
                <w:szCs w:val="26"/>
                <w:lang w:val="en-US"/>
              </w:rPr>
              <w:t> </w:t>
            </w:r>
            <w:r w:rsidRPr="00A27796">
              <w:rPr>
                <w:color w:val="000000"/>
                <w:sz w:val="26"/>
                <w:szCs w:val="26"/>
              </w:rPr>
              <w:t>Самарин.</w:t>
            </w:r>
            <w:r w:rsidRPr="00A27796">
              <w:rPr>
                <w:color w:val="000000"/>
                <w:sz w:val="26"/>
                <w:szCs w:val="26"/>
                <w:lang w:val="en-US"/>
              </w:rPr>
              <w:t> </w:t>
            </w:r>
            <w:r w:rsidRPr="00A27796">
              <w:rPr>
                <w:color w:val="000000"/>
                <w:sz w:val="26"/>
                <w:szCs w:val="26"/>
              </w:rPr>
              <w:t>– Минск: БГУ, 2016.</w:t>
            </w:r>
            <w:r w:rsidRPr="00A27796">
              <w:rPr>
                <w:color w:val="000000"/>
                <w:sz w:val="26"/>
                <w:szCs w:val="26"/>
                <w:lang w:val="en-US"/>
              </w:rPr>
              <w:t> </w:t>
            </w:r>
            <w:r w:rsidRPr="00A27796">
              <w:rPr>
                <w:color w:val="000000"/>
                <w:sz w:val="26"/>
                <w:szCs w:val="26"/>
              </w:rPr>
              <w:t>–351 с.</w:t>
            </w:r>
          </w:p>
          <w:p w14:paraId="2B564A91"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4. Данько, И.</w:t>
            </w:r>
            <w:r w:rsidRPr="00A27796">
              <w:rPr>
                <w:color w:val="000000"/>
                <w:sz w:val="26"/>
                <w:szCs w:val="26"/>
                <w:lang w:val="en-US"/>
              </w:rPr>
              <w:t> </w:t>
            </w:r>
            <w:r w:rsidRPr="00A27796">
              <w:rPr>
                <w:color w:val="000000"/>
                <w:sz w:val="26"/>
                <w:szCs w:val="26"/>
              </w:rPr>
              <w:t>В. Возбуждение уголовного дела.</w:t>
            </w:r>
          </w:p>
          <w:p w14:paraId="287777CA"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Глава. 1 / Уголовный процесс. Особенная часть: учеб.</w:t>
            </w:r>
          </w:p>
          <w:p w14:paraId="0A3B556E"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пособие: в 2 т.; т.1: Досудебное производство //</w:t>
            </w:r>
          </w:p>
          <w:p w14:paraId="214916A8"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И.</w:t>
            </w:r>
            <w:r w:rsidRPr="00A27796">
              <w:rPr>
                <w:color w:val="000000"/>
                <w:sz w:val="26"/>
                <w:szCs w:val="26"/>
                <w:lang w:val="en-US"/>
              </w:rPr>
              <w:t> </w:t>
            </w:r>
            <w:r w:rsidRPr="00A27796">
              <w:rPr>
                <w:color w:val="000000"/>
                <w:sz w:val="26"/>
                <w:szCs w:val="26"/>
              </w:rPr>
              <w:t>В.</w:t>
            </w:r>
            <w:r w:rsidRPr="00A27796">
              <w:rPr>
                <w:color w:val="000000"/>
                <w:sz w:val="26"/>
                <w:szCs w:val="26"/>
                <w:lang w:val="en-US"/>
              </w:rPr>
              <w:t> </w:t>
            </w:r>
            <w:r w:rsidRPr="00A27796">
              <w:rPr>
                <w:color w:val="000000"/>
                <w:sz w:val="26"/>
                <w:szCs w:val="26"/>
              </w:rPr>
              <w:t>Данько [и др.]; под общ. ред. И.</w:t>
            </w:r>
            <w:r w:rsidRPr="00A27796">
              <w:rPr>
                <w:color w:val="000000"/>
                <w:sz w:val="26"/>
                <w:szCs w:val="26"/>
                <w:lang w:val="en-US"/>
              </w:rPr>
              <w:t> </w:t>
            </w:r>
            <w:r w:rsidRPr="00A27796">
              <w:rPr>
                <w:color w:val="000000"/>
                <w:sz w:val="26"/>
                <w:szCs w:val="26"/>
              </w:rPr>
              <w:t>В. Данько. – Минск</w:t>
            </w:r>
          </w:p>
          <w:p w14:paraId="0BF6FFA1"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 Акад. МВД, 2017. – 265 с.</w:t>
            </w:r>
          </w:p>
          <w:p w14:paraId="1DB979BD"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5. Данько, И.</w:t>
            </w:r>
            <w:r w:rsidRPr="00A27796">
              <w:rPr>
                <w:color w:val="000000"/>
                <w:sz w:val="26"/>
                <w:szCs w:val="26"/>
                <w:lang w:val="en-US"/>
              </w:rPr>
              <w:t> </w:t>
            </w:r>
            <w:r w:rsidRPr="00A27796">
              <w:rPr>
                <w:color w:val="000000"/>
                <w:sz w:val="26"/>
                <w:szCs w:val="26"/>
              </w:rPr>
              <w:t>В. Возбуждение уголовного дела. Глава</w:t>
            </w:r>
          </w:p>
          <w:p w14:paraId="6F800E9D"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1. (С. 3-53) / Уголовный процесс. Досудебное</w:t>
            </w:r>
          </w:p>
          <w:p w14:paraId="1EBD9DC4"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производство: учеб. пособие // И.</w:t>
            </w:r>
            <w:r w:rsidRPr="00A27796">
              <w:rPr>
                <w:color w:val="000000"/>
                <w:sz w:val="26"/>
                <w:szCs w:val="26"/>
                <w:lang w:val="en-US"/>
              </w:rPr>
              <w:t> </w:t>
            </w:r>
            <w:r w:rsidRPr="00A27796">
              <w:rPr>
                <w:color w:val="000000"/>
                <w:sz w:val="26"/>
                <w:szCs w:val="26"/>
              </w:rPr>
              <w:t>В.</w:t>
            </w:r>
            <w:r w:rsidRPr="00A27796">
              <w:rPr>
                <w:color w:val="000000"/>
                <w:sz w:val="26"/>
                <w:szCs w:val="26"/>
                <w:lang w:val="en-US"/>
              </w:rPr>
              <w:t> </w:t>
            </w:r>
            <w:r w:rsidRPr="00A27796">
              <w:rPr>
                <w:color w:val="000000"/>
                <w:sz w:val="26"/>
                <w:szCs w:val="26"/>
              </w:rPr>
              <w:t>Данько [и др.]; под</w:t>
            </w:r>
          </w:p>
          <w:p w14:paraId="6B5A1E13"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общ. ред. И.</w:t>
            </w:r>
            <w:r w:rsidRPr="00A27796">
              <w:rPr>
                <w:color w:val="000000"/>
                <w:sz w:val="26"/>
                <w:szCs w:val="26"/>
                <w:lang w:val="en-US"/>
              </w:rPr>
              <w:t> </w:t>
            </w:r>
            <w:r w:rsidRPr="00A27796">
              <w:rPr>
                <w:color w:val="000000"/>
                <w:sz w:val="26"/>
                <w:szCs w:val="26"/>
              </w:rPr>
              <w:t>В. Данько. – Минск : Междунар. ун-т</w:t>
            </w:r>
          </w:p>
          <w:p w14:paraId="7B40AFBE"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«МИТСО», 2016. – 322 с.</w:t>
            </w:r>
          </w:p>
          <w:p w14:paraId="7BA2FB24"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6. Линник, Т.</w:t>
            </w:r>
            <w:r w:rsidRPr="00A27796">
              <w:rPr>
                <w:color w:val="000000"/>
                <w:sz w:val="26"/>
                <w:szCs w:val="26"/>
                <w:lang w:val="en-US"/>
              </w:rPr>
              <w:t> </w:t>
            </w:r>
            <w:r w:rsidRPr="00A27796">
              <w:rPr>
                <w:color w:val="000000"/>
                <w:sz w:val="26"/>
                <w:szCs w:val="26"/>
              </w:rPr>
              <w:t>Н. Уголовный процесс: учебно-</w:t>
            </w:r>
          </w:p>
          <w:p w14:paraId="36897C4E"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методические рекомендации / Т.</w:t>
            </w:r>
            <w:r w:rsidRPr="00A27796">
              <w:rPr>
                <w:color w:val="000000"/>
                <w:sz w:val="26"/>
                <w:szCs w:val="26"/>
                <w:lang w:val="en-US"/>
              </w:rPr>
              <w:t> </w:t>
            </w:r>
            <w:r w:rsidRPr="00A27796">
              <w:rPr>
                <w:color w:val="000000"/>
                <w:sz w:val="26"/>
                <w:szCs w:val="26"/>
              </w:rPr>
              <w:t>Н.</w:t>
            </w:r>
            <w:r w:rsidRPr="00A27796">
              <w:rPr>
                <w:color w:val="000000"/>
                <w:sz w:val="26"/>
                <w:szCs w:val="26"/>
                <w:lang w:val="en-US"/>
              </w:rPr>
              <w:t> </w:t>
            </w:r>
            <w:r w:rsidRPr="00A27796">
              <w:rPr>
                <w:color w:val="000000"/>
                <w:sz w:val="26"/>
                <w:szCs w:val="26"/>
              </w:rPr>
              <w:t>Линник. – Минск,</w:t>
            </w:r>
          </w:p>
          <w:p w14:paraId="53728949"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БИП, 2017. – 179 с.</w:t>
            </w:r>
          </w:p>
          <w:p w14:paraId="6C09A443"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7. Уголовный процесс. Общая часть : Учебник / под.</w:t>
            </w:r>
          </w:p>
          <w:p w14:paraId="48EF8A03"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Общ. редакцией И.</w:t>
            </w:r>
            <w:r w:rsidRPr="00A27796">
              <w:rPr>
                <w:color w:val="000000"/>
                <w:sz w:val="26"/>
                <w:szCs w:val="26"/>
                <w:lang w:val="en-US"/>
              </w:rPr>
              <w:t> </w:t>
            </w:r>
            <w:r w:rsidRPr="00A27796">
              <w:rPr>
                <w:color w:val="000000"/>
                <w:sz w:val="26"/>
                <w:szCs w:val="26"/>
              </w:rPr>
              <w:t>В. Данько. – Минск: Академия МВД,</w:t>
            </w:r>
          </w:p>
          <w:p w14:paraId="288E6FAE"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2012. – 478 с.</w:t>
            </w:r>
          </w:p>
          <w:p w14:paraId="7B5F30D6"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8. Шкаплеров, Ю.</w:t>
            </w:r>
            <w:r w:rsidRPr="00A27796">
              <w:rPr>
                <w:color w:val="000000"/>
                <w:sz w:val="26"/>
                <w:szCs w:val="26"/>
                <w:lang w:val="en-US"/>
              </w:rPr>
              <w:t> </w:t>
            </w:r>
            <w:r w:rsidRPr="00A27796">
              <w:rPr>
                <w:color w:val="000000"/>
                <w:sz w:val="26"/>
                <w:szCs w:val="26"/>
              </w:rPr>
              <w:t>П. Следственные действия:</w:t>
            </w:r>
          </w:p>
          <w:p w14:paraId="0DE17EA7" w14:textId="77777777" w:rsidR="00A27796"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Учебное пособие / Ю.</w:t>
            </w:r>
            <w:r w:rsidRPr="00A27796">
              <w:rPr>
                <w:color w:val="000000"/>
                <w:sz w:val="26"/>
                <w:szCs w:val="26"/>
                <w:lang w:val="en-US"/>
              </w:rPr>
              <w:t> </w:t>
            </w:r>
            <w:r w:rsidRPr="00A27796">
              <w:rPr>
                <w:color w:val="000000"/>
                <w:sz w:val="26"/>
                <w:szCs w:val="26"/>
              </w:rPr>
              <w:t>П. Шкаплеров,, И.</w:t>
            </w:r>
            <w:r w:rsidRPr="00A27796">
              <w:rPr>
                <w:color w:val="000000"/>
                <w:sz w:val="26"/>
                <w:szCs w:val="26"/>
                <w:lang w:val="en-US"/>
              </w:rPr>
              <w:t> </w:t>
            </w:r>
            <w:r w:rsidRPr="00A27796">
              <w:rPr>
                <w:color w:val="000000"/>
                <w:sz w:val="26"/>
                <w:szCs w:val="26"/>
              </w:rPr>
              <w:t>В.</w:t>
            </w:r>
            <w:r w:rsidRPr="00A27796">
              <w:rPr>
                <w:color w:val="000000"/>
                <w:sz w:val="26"/>
                <w:szCs w:val="26"/>
                <w:lang w:val="en-US"/>
              </w:rPr>
              <w:t> </w:t>
            </w:r>
            <w:r w:rsidRPr="00A27796">
              <w:rPr>
                <w:color w:val="000000"/>
                <w:sz w:val="26"/>
                <w:szCs w:val="26"/>
              </w:rPr>
              <w:t>Данько –</w:t>
            </w:r>
          </w:p>
          <w:p w14:paraId="431EF66D" w14:textId="1EC4785B" w:rsidR="003C6BD0" w:rsidRPr="00A27796" w:rsidRDefault="00A27796" w:rsidP="00A27796">
            <w:pPr>
              <w:widowControl w:val="0"/>
              <w:tabs>
                <w:tab w:val="left" w:pos="294"/>
              </w:tabs>
              <w:spacing w:line="326" w:lineRule="exact"/>
              <w:ind w:right="40"/>
              <w:jc w:val="both"/>
              <w:rPr>
                <w:color w:val="000000"/>
                <w:sz w:val="26"/>
                <w:szCs w:val="26"/>
              </w:rPr>
            </w:pPr>
            <w:r w:rsidRPr="00A27796">
              <w:rPr>
                <w:color w:val="000000"/>
                <w:sz w:val="26"/>
                <w:szCs w:val="26"/>
              </w:rPr>
              <w:t>Могилев: МИ МВД Республики Беларусь, 2017. – 108 с.</w:t>
            </w:r>
          </w:p>
        </w:tc>
      </w:tr>
      <w:tr w:rsidR="003C6BD0" w:rsidRPr="00A27796" w14:paraId="64A79167" w14:textId="77777777">
        <w:tc>
          <w:tcPr>
            <w:tcW w:w="496" w:type="dxa"/>
            <w:tcBorders>
              <w:top w:val="single" w:sz="4" w:space="0" w:color="000000"/>
              <w:left w:val="single" w:sz="4" w:space="0" w:color="000000"/>
              <w:bottom w:val="single" w:sz="4" w:space="0" w:color="000000"/>
            </w:tcBorders>
          </w:tcPr>
          <w:p w14:paraId="624B771C" w14:textId="77777777" w:rsidR="003C6BD0" w:rsidRDefault="00A27796">
            <w:pPr>
              <w:jc w:val="center"/>
              <w:rPr>
                <w:sz w:val="26"/>
                <w:szCs w:val="26"/>
              </w:rPr>
            </w:pPr>
            <w:r>
              <w:rPr>
                <w:sz w:val="26"/>
                <w:szCs w:val="26"/>
              </w:rPr>
              <w:t>11</w:t>
            </w:r>
          </w:p>
        </w:tc>
        <w:tc>
          <w:tcPr>
            <w:tcW w:w="2448" w:type="dxa"/>
            <w:tcBorders>
              <w:top w:val="single" w:sz="4" w:space="0" w:color="000000"/>
              <w:left w:val="single" w:sz="4" w:space="0" w:color="000000"/>
              <w:bottom w:val="single" w:sz="4" w:space="0" w:color="000000"/>
            </w:tcBorders>
          </w:tcPr>
          <w:p w14:paraId="04254AFC" w14:textId="77777777" w:rsidR="003C6BD0" w:rsidRDefault="00A27796">
            <w:pPr>
              <w:jc w:val="center"/>
              <w:rPr>
                <w:sz w:val="26"/>
                <w:szCs w:val="26"/>
              </w:rPr>
            </w:pPr>
            <w:r>
              <w:rPr>
                <w:sz w:val="26"/>
                <w:szCs w:val="26"/>
              </w:rPr>
              <w:t>Teaching methods</w:t>
            </w:r>
          </w:p>
          <w:p w14:paraId="25BA68E9" w14:textId="77777777" w:rsidR="003C6BD0" w:rsidRDefault="003C6BD0">
            <w:pPr>
              <w:jc w:val="center"/>
              <w:rPr>
                <w:sz w:val="26"/>
                <w:szCs w:val="26"/>
              </w:rPr>
            </w:pPr>
          </w:p>
        </w:tc>
        <w:tc>
          <w:tcPr>
            <w:tcW w:w="6672" w:type="dxa"/>
            <w:tcBorders>
              <w:top w:val="single" w:sz="4" w:space="0" w:color="000000"/>
              <w:left w:val="single" w:sz="4" w:space="0" w:color="000000"/>
              <w:bottom w:val="single" w:sz="4" w:space="0" w:color="000000"/>
              <w:right w:val="single" w:sz="4" w:space="0" w:color="000000"/>
            </w:tcBorders>
          </w:tcPr>
          <w:p w14:paraId="7B57716E" w14:textId="77777777" w:rsidR="003C6BD0" w:rsidRPr="00A27796" w:rsidRDefault="00A27796">
            <w:pPr>
              <w:jc w:val="both"/>
              <w:rPr>
                <w:sz w:val="26"/>
                <w:szCs w:val="26"/>
                <w:lang w:val="en-US"/>
              </w:rPr>
            </w:pPr>
            <w:r w:rsidRPr="00A27796">
              <w:rPr>
                <w:spacing w:val="-4"/>
                <w:sz w:val="26"/>
                <w:szCs w:val="26"/>
                <w:lang w:val="en-US"/>
              </w:rPr>
              <w:t xml:space="preserve">Explanatory-illustrative, reproductive, </w:t>
            </w:r>
            <w:r w:rsidRPr="00A27796">
              <w:rPr>
                <w:sz w:val="26"/>
                <w:szCs w:val="26"/>
                <w:lang w:val="en-US"/>
              </w:rPr>
              <w:t xml:space="preserve">partially searchable, comparative, problem-based, dialog-heuristic, research, generalizing, </w:t>
            </w:r>
            <w:r w:rsidRPr="00A27796">
              <w:rPr>
                <w:sz w:val="26"/>
                <w:szCs w:val="26"/>
                <w:lang w:val="en-US"/>
              </w:rPr>
              <w:t>analytical.</w:t>
            </w:r>
          </w:p>
        </w:tc>
      </w:tr>
      <w:tr w:rsidR="003C6BD0" w14:paraId="1C4E5FF8" w14:textId="77777777">
        <w:tc>
          <w:tcPr>
            <w:tcW w:w="496" w:type="dxa"/>
            <w:tcBorders>
              <w:top w:val="single" w:sz="4" w:space="0" w:color="000000"/>
              <w:left w:val="single" w:sz="4" w:space="0" w:color="000000"/>
              <w:bottom w:val="single" w:sz="4" w:space="0" w:color="000000"/>
            </w:tcBorders>
          </w:tcPr>
          <w:p w14:paraId="0B8213C8" w14:textId="77777777" w:rsidR="003C6BD0" w:rsidRDefault="00A27796">
            <w:pPr>
              <w:jc w:val="center"/>
              <w:rPr>
                <w:sz w:val="26"/>
                <w:szCs w:val="26"/>
              </w:rPr>
            </w:pPr>
            <w:r>
              <w:rPr>
                <w:sz w:val="26"/>
                <w:szCs w:val="26"/>
              </w:rPr>
              <w:t>12</w:t>
            </w:r>
          </w:p>
        </w:tc>
        <w:tc>
          <w:tcPr>
            <w:tcW w:w="2448" w:type="dxa"/>
            <w:tcBorders>
              <w:top w:val="single" w:sz="4" w:space="0" w:color="000000"/>
              <w:left w:val="single" w:sz="4" w:space="0" w:color="000000"/>
              <w:bottom w:val="single" w:sz="4" w:space="0" w:color="000000"/>
            </w:tcBorders>
          </w:tcPr>
          <w:p w14:paraId="183DA0B2" w14:textId="77777777" w:rsidR="003C6BD0" w:rsidRDefault="00A27796">
            <w:pPr>
              <w:jc w:val="center"/>
              <w:rPr>
                <w:sz w:val="26"/>
                <w:szCs w:val="26"/>
              </w:rPr>
            </w:pPr>
            <w:r>
              <w:rPr>
                <w:sz w:val="26"/>
                <w:szCs w:val="26"/>
              </w:rPr>
              <w:t>Language of instruction</w:t>
            </w:r>
          </w:p>
          <w:p w14:paraId="0F4A999E" w14:textId="77777777" w:rsidR="003C6BD0" w:rsidRDefault="003C6BD0">
            <w:pPr>
              <w:jc w:val="center"/>
              <w:rPr>
                <w:sz w:val="26"/>
                <w:szCs w:val="26"/>
              </w:rPr>
            </w:pPr>
          </w:p>
        </w:tc>
        <w:tc>
          <w:tcPr>
            <w:tcW w:w="6672" w:type="dxa"/>
            <w:tcBorders>
              <w:top w:val="single" w:sz="4" w:space="0" w:color="000000"/>
              <w:left w:val="single" w:sz="4" w:space="0" w:color="000000"/>
              <w:bottom w:val="single" w:sz="4" w:space="0" w:color="000000"/>
              <w:right w:val="single" w:sz="4" w:space="0" w:color="000000"/>
            </w:tcBorders>
          </w:tcPr>
          <w:p w14:paraId="3BF40AC8" w14:textId="77777777" w:rsidR="003C6BD0" w:rsidRDefault="00A27796">
            <w:pPr>
              <w:jc w:val="center"/>
              <w:rPr>
                <w:sz w:val="26"/>
                <w:szCs w:val="26"/>
              </w:rPr>
            </w:pPr>
            <w:r>
              <w:rPr>
                <w:sz w:val="26"/>
                <w:szCs w:val="26"/>
              </w:rPr>
              <w:t>Russian</w:t>
            </w:r>
          </w:p>
        </w:tc>
      </w:tr>
    </w:tbl>
    <w:p w14:paraId="05C4613F" w14:textId="77777777" w:rsidR="003C6BD0" w:rsidRDefault="003C6BD0">
      <w:pPr>
        <w:jc w:val="both"/>
      </w:pPr>
    </w:p>
    <w:sectPr w:rsidR="003C6BD0">
      <w:pgSz w:w="11906" w:h="16838"/>
      <w:pgMar w:top="709" w:right="850" w:bottom="993"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AR PL UMing CN">
    <w:panose1 w:val="00000000000000000000"/>
    <w:charset w:val="00"/>
    <w:family w:val="roman"/>
    <w:notTrueType/>
    <w:pitch w:val="default"/>
  </w:font>
  <w:font w:name="FreeSan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970E6"/>
    <w:multiLevelType w:val="multilevel"/>
    <w:tmpl w:val="E0189844"/>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A1009E8"/>
    <w:multiLevelType w:val="multilevel"/>
    <w:tmpl w:val="7234CF04"/>
    <w:lvl w:ilvl="0">
      <w:start w:val="1"/>
      <w:numFmt w:val="decimal"/>
      <w:lvlText w:val="%1."/>
      <w:lvlJc w:val="left"/>
      <w:pPr>
        <w:tabs>
          <w:tab w:val="num" w:pos="0"/>
        </w:tabs>
        <w:ind w:left="1210" w:hanging="360"/>
      </w:pPr>
      <w:rPr>
        <w:rFonts w:ascii="Times New Roman" w:hAnsi="Times New Roman" w:cs="Times New Roman"/>
        <w:b w:val="0"/>
        <w:color w:val="000000"/>
        <w:sz w:val="26"/>
        <w:szCs w:val="26"/>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BD0"/>
    <w:rsid w:val="003C6BD0"/>
    <w:rsid w:val="00A27796"/>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7E286"/>
  <w15:docId w15:val="{8DEACC4B-3206-4233-AC11-663B20463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AR PL UMing CN" w:hAnsi="Liberation Serif" w:cs="FreeSans"/>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lang w:val="ru-RU" w:bidi="ar-SA"/>
    </w:rPr>
  </w:style>
  <w:style w:type="paragraph" w:styleId="Heading1">
    <w:name w:val="heading 1"/>
    <w:basedOn w:val="Normal"/>
    <w:next w:val="Normal"/>
    <w:uiPriority w:val="9"/>
    <w:qFormat/>
    <w:pPr>
      <w:keepNext/>
      <w:numPr>
        <w:numId w:val="1"/>
      </w:numPr>
      <w:spacing w:before="240" w:after="60"/>
      <w:outlineLvl w:val="0"/>
    </w:pPr>
    <w:rPr>
      <w:rFonts w:ascii="Cambria" w:hAnsi="Cambria" w:cs="Cambria"/>
      <w:b/>
      <w:bCs/>
      <w:kern w:val="2"/>
      <w:sz w:val="32"/>
      <w:szCs w:val="32"/>
      <w:lang w:val="en-US"/>
    </w:rPr>
  </w:style>
  <w:style w:type="paragraph" w:styleId="Heading6">
    <w:name w:val="heading 6"/>
    <w:basedOn w:val="Normal"/>
    <w:next w:val="Normal"/>
    <w:uiPriority w:val="9"/>
    <w:semiHidden/>
    <w:unhideWhenUsed/>
    <w:qFormat/>
    <w:pPr>
      <w:numPr>
        <w:ilvl w:val="5"/>
        <w:numId w:val="1"/>
      </w:numPr>
      <w:spacing w:before="280" w:after="100" w:line="360" w:lineRule="auto"/>
      <w:outlineLvl w:val="5"/>
    </w:pPr>
    <w:rPr>
      <w:rFonts w:ascii="Arial" w:hAnsi="Arial" w:cs="Arial"/>
      <w:i/>
      <w:iCs/>
      <w:color w:val="4F81BD"/>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spacing w:val="0"/>
      <w:kern w:val="2"/>
      <w:position w:val="0"/>
      <w:sz w:val="24"/>
      <w:u w:val="none"/>
      <w:vertAlign w:val="baseline"/>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color w:val="000000"/>
      <w:sz w:val="26"/>
      <w:szCs w:val="26"/>
      <w:lang w:val="ru-RU"/>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Times New Roman" w:eastAsia="Times New Roman" w:hAnsi="Times New Roman" w:cs="Times New Roman"/>
    </w:rPr>
  </w:style>
  <w:style w:type="character" w:customStyle="1" w:styleId="WW8Num5z2">
    <w:name w:val="WW8Num5z2"/>
    <w:qFormat/>
    <w:rPr>
      <w:rFonts w:ascii="Wingdings" w:hAnsi="Wingdings" w:cs="Wingdings"/>
    </w:rPr>
  </w:style>
  <w:style w:type="character" w:customStyle="1" w:styleId="WW8Num5z4">
    <w:name w:val="WW8Num5z4"/>
    <w:qFormat/>
    <w:rPr>
      <w:rFonts w:ascii="Courier New" w:hAnsi="Courier New" w:cs="Courier New"/>
    </w:rPr>
  </w:style>
  <w:style w:type="character" w:customStyle="1" w:styleId="a">
    <w:name w:val="Основной шрифт абзаца"/>
    <w:qFormat/>
  </w:style>
  <w:style w:type="character" w:customStyle="1" w:styleId="a0">
    <w:name w:val="Основной текст с отступом Знак"/>
    <w:qFormat/>
    <w:rPr>
      <w:sz w:val="24"/>
      <w:szCs w:val="24"/>
      <w:lang w:val="ru-RU" w:bidi="ar-SA"/>
    </w:rPr>
  </w:style>
  <w:style w:type="character" w:customStyle="1" w:styleId="a1">
    <w:name w:val="Название Знак"/>
    <w:qFormat/>
    <w:rPr>
      <w:rFonts w:ascii="Arial" w:hAnsi="Arial" w:cs="Arial"/>
      <w:b/>
      <w:sz w:val="32"/>
    </w:rPr>
  </w:style>
  <w:style w:type="character" w:customStyle="1" w:styleId="a2">
    <w:name w:val="Основной текст Знак"/>
    <w:qFormat/>
    <w:rPr>
      <w:sz w:val="24"/>
      <w:szCs w:val="24"/>
    </w:rPr>
  </w:style>
  <w:style w:type="character" w:customStyle="1" w:styleId="6">
    <w:name w:val="Заголовок 6 Знак"/>
    <w:qFormat/>
    <w:rPr>
      <w:rFonts w:ascii="Arial" w:hAnsi="Arial" w:cs="Arial"/>
      <w:i/>
      <w:iCs/>
      <w:color w:val="4F81BD"/>
      <w:sz w:val="22"/>
      <w:szCs w:val="22"/>
    </w:rPr>
  </w:style>
  <w:style w:type="character" w:customStyle="1" w:styleId="a3">
    <w:name w:val="Без интервала Знак"/>
    <w:qFormat/>
    <w:rPr>
      <w:sz w:val="22"/>
      <w:szCs w:val="22"/>
    </w:rPr>
  </w:style>
  <w:style w:type="character" w:customStyle="1" w:styleId="FontStyle22">
    <w:name w:val="Font Style22"/>
    <w:qFormat/>
    <w:rPr>
      <w:rFonts w:ascii="Times New Roman" w:hAnsi="Times New Roman" w:cs="Times New Roman"/>
      <w:sz w:val="18"/>
      <w:szCs w:val="18"/>
    </w:rPr>
  </w:style>
  <w:style w:type="character" w:customStyle="1" w:styleId="StrongEmphasis">
    <w:name w:val="Strong Emphasis"/>
    <w:qFormat/>
    <w:rPr>
      <w:b/>
      <w:bCs/>
    </w:rPr>
  </w:style>
  <w:style w:type="character" w:customStyle="1" w:styleId="apple-converted-space">
    <w:name w:val="apple-converted-space"/>
    <w:basedOn w:val="a"/>
    <w:qFormat/>
  </w:style>
  <w:style w:type="character" w:customStyle="1" w:styleId="1">
    <w:name w:val="Заголовок 1 Знак"/>
    <w:qFormat/>
    <w:rPr>
      <w:rFonts w:ascii="Cambria" w:eastAsia="Times New Roman" w:hAnsi="Cambria" w:cs="Times New Roman"/>
      <w:b/>
      <w:bCs/>
      <w:kern w:val="2"/>
      <w:sz w:val="32"/>
      <w:szCs w:val="32"/>
    </w:rPr>
  </w:style>
  <w:style w:type="paragraph" w:customStyle="1" w:styleId="Heading">
    <w:name w:val="Heading"/>
    <w:basedOn w:val="Normal"/>
    <w:next w:val="BodyText"/>
    <w:qFormat/>
    <w:pPr>
      <w:ind w:left="6372"/>
      <w:jc w:val="center"/>
    </w:pPr>
    <w:rPr>
      <w:rFonts w:ascii="Arial" w:hAnsi="Arial" w:cs="Arial"/>
      <w:b/>
      <w:sz w:val="32"/>
      <w:szCs w:val="20"/>
      <w:lang w:val="en-US"/>
    </w:rPr>
  </w:style>
  <w:style w:type="paragraph" w:styleId="BodyText">
    <w:name w:val="Body Text"/>
    <w:basedOn w:val="Normal"/>
    <w:pPr>
      <w:spacing w:after="120"/>
    </w:pPr>
    <w:rPr>
      <w:lang w:val="en-US"/>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BodyTextIndent">
    <w:name w:val="Body Text Indent"/>
    <w:basedOn w:val="Normal"/>
    <w:pPr>
      <w:ind w:firstLine="720"/>
      <w:jc w:val="both"/>
    </w:pPr>
  </w:style>
  <w:style w:type="paragraph" w:customStyle="1" w:styleId="a4">
    <w:name w:val="Без интервала"/>
    <w:basedOn w:val="Normal"/>
    <w:qFormat/>
    <w:pPr>
      <w:spacing w:after="120" w:line="360" w:lineRule="auto"/>
    </w:pPr>
    <w:rPr>
      <w:sz w:val="22"/>
      <w:szCs w:val="22"/>
      <w:lang w:val="en-US"/>
    </w:rPr>
  </w:style>
  <w:style w:type="paragraph" w:customStyle="1" w:styleId="Style4">
    <w:name w:val="Style4"/>
    <w:basedOn w:val="Normal"/>
    <w:qFormat/>
    <w:pPr>
      <w:widowControl w:val="0"/>
      <w:autoSpaceDE w:val="0"/>
      <w:spacing w:line="242" w:lineRule="exact"/>
      <w:ind w:firstLine="288"/>
      <w:jc w:val="both"/>
    </w:pPr>
  </w:style>
  <w:style w:type="paragraph" w:customStyle="1" w:styleId="a5">
    <w:name w:val="Абзац списка"/>
    <w:basedOn w:val="Normal"/>
    <w:qFormat/>
    <w:pPr>
      <w:ind w:left="720"/>
      <w:contextualSpacing/>
    </w:pPr>
    <w:rPr>
      <w:sz w:val="20"/>
      <w:szCs w:val="20"/>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3436</Characters>
  <Application>Microsoft Office Word</Application>
  <DocSecurity>0</DocSecurity>
  <Lines>28</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Translated with Yandex.Translate</dc:description>
  <cp:lastModifiedBy>Амина Ахадова</cp:lastModifiedBy>
  <cp:revision>2</cp:revision>
  <cp:lastPrinted>2022-09-07T14:54:00Z</cp:lastPrinted>
  <dcterms:created xsi:type="dcterms:W3CDTF">2023-11-17T05:54:00Z</dcterms:created>
  <dcterms:modified xsi:type="dcterms:W3CDTF">2023-11-17T05:54:00Z</dcterms:modified>
  <dc:language>en-US</dc:language>
</cp:coreProperties>
</file>